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6E48" w14:textId="77777777" w:rsidR="006C3DED" w:rsidRPr="00ED7581" w:rsidRDefault="006C3DED" w:rsidP="006C3DED">
      <w:pPr>
        <w:pStyle w:val="a9"/>
        <w:jc w:val="center"/>
        <w:rPr>
          <w:rFonts w:ascii="Verdana" w:hAnsi="Verdana"/>
          <w:b/>
          <w:sz w:val="20"/>
          <w:szCs w:val="20"/>
          <w:lang w:eastAsia="ru-RU"/>
        </w:rPr>
      </w:pPr>
      <w:r w:rsidRPr="00ED7581">
        <w:rPr>
          <w:rFonts w:ascii="Verdana" w:hAnsi="Verdana"/>
          <w:b/>
          <w:sz w:val="20"/>
          <w:szCs w:val="20"/>
          <w:lang w:eastAsia="ru-RU"/>
        </w:rPr>
        <w:t>Топ-5 мифов про открытие бизнеса за рубежом.</w:t>
      </w:r>
    </w:p>
    <w:p w14:paraId="04838EE9" w14:textId="77777777" w:rsidR="00F57BBC" w:rsidRPr="00ED7581" w:rsidRDefault="00F57BBC" w:rsidP="006C3DED">
      <w:pPr>
        <w:pStyle w:val="a9"/>
        <w:jc w:val="center"/>
        <w:rPr>
          <w:rFonts w:ascii="Verdana" w:hAnsi="Verdana"/>
          <w:sz w:val="16"/>
          <w:szCs w:val="16"/>
          <w:lang w:eastAsia="ru-RU"/>
        </w:rPr>
      </w:pPr>
    </w:p>
    <w:p w14:paraId="460E3073" w14:textId="77777777" w:rsidR="00F57BBC" w:rsidRPr="00ED7581" w:rsidRDefault="00D66FE0" w:rsidP="00F57BBC">
      <w:pPr>
        <w:pStyle w:val="a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таблице ниже разберем,</w:t>
      </w:r>
      <w:r w:rsidR="00F57BBC" w:rsidRPr="00ED7581">
        <w:rPr>
          <w:rFonts w:ascii="Verdana" w:hAnsi="Verdana"/>
          <w:sz w:val="18"/>
          <w:szCs w:val="18"/>
        </w:rPr>
        <w:t xml:space="preserve"> в каких странах есть стартап-виза и почему не все так просто с регистрацией компании в Черногории или Дубае. </w:t>
      </w:r>
    </w:p>
    <w:p w14:paraId="29658146" w14:textId="77777777" w:rsidR="00F57BBC" w:rsidRPr="00ED7581" w:rsidRDefault="00F57BBC" w:rsidP="00F57BBC">
      <w:pPr>
        <w:pStyle w:val="a9"/>
        <w:jc w:val="both"/>
        <w:rPr>
          <w:rFonts w:ascii="Verdana" w:hAnsi="Verdana"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F57BBC" w:rsidRPr="00ED7581" w14:paraId="1350B186" w14:textId="77777777" w:rsidTr="004536F1">
        <w:tc>
          <w:tcPr>
            <w:tcW w:w="2552" w:type="dxa"/>
          </w:tcPr>
          <w:p w14:paraId="361D1792" w14:textId="77777777" w:rsidR="00F57BBC" w:rsidRPr="00ED7581" w:rsidRDefault="00F57BBC" w:rsidP="00F57BBC">
            <w:pPr>
              <w:pStyle w:val="a9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D7581">
              <w:rPr>
                <w:rFonts w:ascii="Verdana" w:hAnsi="Verdana"/>
                <w:i/>
                <w:sz w:val="18"/>
                <w:szCs w:val="18"/>
                <w:u w:val="single"/>
              </w:rPr>
              <w:t>Миф 1.</w:t>
            </w:r>
            <w:r w:rsidRPr="00ED7581">
              <w:rPr>
                <w:rFonts w:ascii="Verdana" w:hAnsi="Verdana"/>
                <w:b/>
                <w:i/>
                <w:sz w:val="18"/>
                <w:szCs w:val="18"/>
              </w:rPr>
              <w:t xml:space="preserve"> Стартап-визы выдают только для проектов в сфере ИТ и высоких технологий.</w:t>
            </w:r>
          </w:p>
        </w:tc>
        <w:tc>
          <w:tcPr>
            <w:tcW w:w="8647" w:type="dxa"/>
          </w:tcPr>
          <w:p w14:paraId="151E1E46" w14:textId="77777777" w:rsidR="00F57BBC" w:rsidRPr="00ED7581" w:rsidRDefault="00F57BBC" w:rsidP="00F57BBC">
            <w:pPr>
              <w:pStyle w:val="a9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Программы выд</w:t>
            </w:r>
            <w:r w:rsidR="00300318" w:rsidRPr="00ED7581">
              <w:rPr>
                <w:rFonts w:ascii="Verdana" w:hAnsi="Verdana"/>
                <w:sz w:val="18"/>
                <w:szCs w:val="18"/>
              </w:rPr>
              <w:t>ачи стартап-виз есть даже в США.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Не исключение и страны Европы, в которых определение стартапа довольно расплывчато, и решение о том, какой проект можно назвать стартапом, принимают местные госслужащие.</w:t>
            </w:r>
          </w:p>
          <w:p w14:paraId="3F7C1BED" w14:textId="77777777" w:rsidR="00F57BBC" w:rsidRPr="00ED7581" w:rsidRDefault="00F57BBC" w:rsidP="00F57BBC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В Испании для получения стартап-визы необходим положительный отзыв о проекте.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Его выдает соответствующее экономическое и торговое управление этого консульского округа или Генеральное управление международной торговли и инвестиций. Это </w:t>
            </w:r>
            <w:hyperlink r:id="rId7" w:history="1">
              <w:r w:rsidRPr="00ED7581">
                <w:rPr>
                  <w:rStyle w:val="ac"/>
                  <w:rFonts w:ascii="Verdana" w:hAnsi="Verdana"/>
                  <w:sz w:val="18"/>
                  <w:szCs w:val="18"/>
                </w:rPr>
                <w:t>новое правило</w:t>
              </w:r>
            </w:hyperlink>
            <w:r w:rsidRPr="00ED7581">
              <w:rPr>
                <w:rFonts w:ascii="Verdana" w:hAnsi="Verdana"/>
                <w:sz w:val="18"/>
                <w:szCs w:val="18"/>
              </w:rPr>
              <w:t>, оно начало действовать в стране с ноября 2023. Главными приоритетами являются:</w:t>
            </w:r>
          </w:p>
          <w:p w14:paraId="17482B4B" w14:textId="77777777" w:rsidR="00F57BBC" w:rsidRPr="00ED7581" w:rsidRDefault="00F57BBC" w:rsidP="00F57BBC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создание рабочих мест в Испании;</w:t>
            </w:r>
          </w:p>
          <w:p w14:paraId="46B187B4" w14:textId="77777777" w:rsidR="00F57BBC" w:rsidRPr="00ED7581" w:rsidRDefault="00F57BBC" w:rsidP="00F57BBC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профессиональный опыт предпринимателя;</w:t>
            </w:r>
          </w:p>
          <w:p w14:paraId="23AFEBB8" w14:textId="77777777" w:rsidR="00F57BBC" w:rsidRPr="00ED7581" w:rsidRDefault="00F57BBC" w:rsidP="00F57BBC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личное участие в проекте.</w:t>
            </w:r>
          </w:p>
          <w:p w14:paraId="2EF2B7D4" w14:textId="77777777" w:rsidR="00F57BBC" w:rsidRPr="00ED7581" w:rsidRDefault="00F57BBC" w:rsidP="00F57BBC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 xml:space="preserve">Кроме того, необходимо показать добавленную стоимость для испанской экономики, инновации или инвестиционные возможности и представить бизнес-план. </w:t>
            </w:r>
            <w:r w:rsidR="00B144AB" w:rsidRPr="00ED7581">
              <w:rPr>
                <w:rFonts w:ascii="Verdana" w:hAnsi="Verdana"/>
                <w:sz w:val="18"/>
                <w:szCs w:val="18"/>
              </w:rPr>
              <w:t>Н</w:t>
            </w:r>
            <w:r w:rsidRPr="00ED7581">
              <w:rPr>
                <w:rFonts w:ascii="Verdana" w:hAnsi="Verdana"/>
                <w:sz w:val="18"/>
                <w:szCs w:val="18"/>
              </w:rPr>
              <w:t>икакой обязательной привязки к ИТ здесь нет.</w:t>
            </w:r>
          </w:p>
          <w:p w14:paraId="30830C85" w14:textId="77777777" w:rsidR="00F57BBC" w:rsidRPr="00ED7581" w:rsidRDefault="00F57BBC" w:rsidP="00F57BBC">
            <w:pPr>
              <w:pStyle w:val="a9"/>
              <w:numPr>
                <w:ilvl w:val="0"/>
                <w:numId w:val="2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В Великобритании аналог стартап-визы называется визой основателя-новатора.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Там необходимо </w:t>
            </w:r>
            <w:hyperlink r:id="rId8" w:history="1">
              <w:r w:rsidRPr="00ED7581">
                <w:rPr>
                  <w:rStyle w:val="ac"/>
                  <w:rFonts w:ascii="Verdana" w:hAnsi="Verdana"/>
                  <w:sz w:val="18"/>
                  <w:szCs w:val="18"/>
                </w:rPr>
                <w:t>доказать</w:t>
              </w:r>
            </w:hyperlink>
            <w:r w:rsidRPr="00ED7581">
              <w:rPr>
                <w:rFonts w:ascii="Verdana" w:hAnsi="Verdana"/>
                <w:sz w:val="18"/>
                <w:szCs w:val="18"/>
              </w:rPr>
              <w:t xml:space="preserve"> в одном из аккредитованных государством органов полезность бизнес-проекта и его соответствие критериям. Проект должен быть:</w:t>
            </w:r>
          </w:p>
          <w:p w14:paraId="2E840F40" w14:textId="77777777" w:rsidR="00F57BBC" w:rsidRPr="00ED7581" w:rsidRDefault="00F57BBC" w:rsidP="000A7937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инновационным;</w:t>
            </w:r>
          </w:p>
          <w:p w14:paraId="1B49E84A" w14:textId="77777777" w:rsidR="00F57BBC" w:rsidRPr="00ED7581" w:rsidRDefault="00F57BBC" w:rsidP="000A7937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новым — нельзя присоединяться к готовому бизнесу;</w:t>
            </w:r>
          </w:p>
          <w:p w14:paraId="7D6110C8" w14:textId="77777777" w:rsidR="00F57BBC" w:rsidRPr="00ED7581" w:rsidRDefault="00F57BBC" w:rsidP="000A7937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жизнеспособным;</w:t>
            </w:r>
          </w:p>
          <w:p w14:paraId="0FCDC7D0" w14:textId="77777777" w:rsidR="00F57BBC" w:rsidRPr="00ED7581" w:rsidRDefault="00F57BBC" w:rsidP="000A7937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масштабируемым.</w:t>
            </w:r>
          </w:p>
          <w:p w14:paraId="6477337A" w14:textId="77777777" w:rsidR="00F57BBC" w:rsidRPr="00ED7581" w:rsidRDefault="00F57BBC" w:rsidP="000A7937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У предпринимателя должна быть оригинальная бизнес-идея, отличающаяся от всего остального на рынке. Но решать, насколько она оригинальна и жизнеспособна, будут чиновники.</w:t>
            </w:r>
          </w:p>
          <w:p w14:paraId="4BFEC302" w14:textId="77777777" w:rsidR="00F57BBC" w:rsidRPr="00ED7581" w:rsidRDefault="00F57BBC" w:rsidP="00815D0A">
            <w:pPr>
              <w:pStyle w:val="a9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Получение стартап-визы в США.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Это сейчас представляется самым сложным, учитывая характер отношений стран и визовую политику страны к россиянам в целом. Но США имеют и самый развитый фондовый рынок в мире с наибольшей капитализацией, привлечение капитала на котором может быть эффективным решением для роста любого бизнеса.</w:t>
            </w:r>
          </w:p>
          <w:p w14:paraId="078C0EF4" w14:textId="77777777" w:rsidR="00F57BBC" w:rsidRPr="00ED7581" w:rsidRDefault="00F57BBC" w:rsidP="00815D0A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 xml:space="preserve">Одним из </w:t>
            </w:r>
            <w:hyperlink r:id="rId9" w:history="1">
              <w:r w:rsidRPr="00ED7581">
                <w:rPr>
                  <w:rStyle w:val="ac"/>
                  <w:rFonts w:ascii="Verdana" w:hAnsi="Verdana"/>
                  <w:sz w:val="18"/>
                  <w:szCs w:val="18"/>
                </w:rPr>
                <w:t>требований</w:t>
              </w:r>
            </w:hyperlink>
            <w:r w:rsidRPr="00ED7581">
              <w:rPr>
                <w:rFonts w:ascii="Verdana" w:hAnsi="Verdana"/>
                <w:sz w:val="18"/>
                <w:szCs w:val="18"/>
              </w:rPr>
              <w:t xml:space="preserve"> для предоставления стартап-визы в США является отчетность. Спустя </w:t>
            </w:r>
            <w:r w:rsidR="00B144AB" w:rsidRPr="00ED7581">
              <w:rPr>
                <w:rFonts w:ascii="Verdana" w:hAnsi="Verdana"/>
                <w:sz w:val="18"/>
                <w:szCs w:val="18"/>
              </w:rPr>
              <w:t>2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года предприниматель должен выполнить хотя бы одно из </w:t>
            </w:r>
            <w:r w:rsidR="00B144AB" w:rsidRPr="00ED7581">
              <w:rPr>
                <w:rFonts w:ascii="Verdana" w:hAnsi="Verdana"/>
                <w:sz w:val="18"/>
                <w:szCs w:val="18"/>
              </w:rPr>
              <w:t>3-</w:t>
            </w:r>
            <w:r w:rsidRPr="00ED7581">
              <w:rPr>
                <w:rFonts w:ascii="Verdana" w:hAnsi="Verdana"/>
                <w:sz w:val="18"/>
                <w:szCs w:val="18"/>
              </w:rPr>
              <w:t>х условий:</w:t>
            </w:r>
          </w:p>
          <w:p w14:paraId="23265759" w14:textId="77777777" w:rsidR="00F57BBC" w:rsidRPr="00ED7581" w:rsidRDefault="00B144AB" w:rsidP="00815D0A">
            <w:pPr>
              <w:pStyle w:val="a9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создать не менее 3-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>х рабочих мест;</w:t>
            </w:r>
          </w:p>
          <w:p w14:paraId="10F1A75C" w14:textId="77777777" w:rsidR="00F57BBC" w:rsidRPr="00ED7581" w:rsidRDefault="00F57BBC" w:rsidP="00815D0A">
            <w:pPr>
              <w:pStyle w:val="a9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заработать 100 000 $ в год;</w:t>
            </w:r>
          </w:p>
          <w:p w14:paraId="21AE267A" w14:textId="77777777" w:rsidR="00F57BBC" w:rsidRPr="00ED7581" w:rsidRDefault="00F57BBC" w:rsidP="00815D0A">
            <w:pPr>
              <w:pStyle w:val="a9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привлечь 100 000 $ в год в качестве финансирования от инвесторов.</w:t>
            </w:r>
          </w:p>
          <w:p w14:paraId="3106D6AF" w14:textId="77777777" w:rsidR="00F57BBC" w:rsidRPr="00ED7581" w:rsidRDefault="00F57BBC" w:rsidP="00D0595A">
            <w:pPr>
              <w:pStyle w:val="a9"/>
              <w:numPr>
                <w:ilvl w:val="0"/>
                <w:numId w:val="31"/>
              </w:numPr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Специальные стартап-визы существуют в 13 из 27 стран Европейского союза:</w:t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9"/>
              <w:gridCol w:w="6652"/>
            </w:tblGrid>
            <w:tr w:rsidR="00D0595A" w:rsidRPr="00ED7581" w14:paraId="33606F89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6E66D289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sz w:val="18"/>
                      <w:szCs w:val="18"/>
                    </w:rPr>
                    <w:t>Страна</w:t>
                  </w:r>
                </w:p>
              </w:tc>
              <w:tc>
                <w:tcPr>
                  <w:tcW w:w="6652" w:type="dxa"/>
                  <w:shd w:val="clear" w:color="auto" w:fill="D9D9D9" w:themeFill="background1" w:themeFillShade="D9"/>
                  <w:vAlign w:val="center"/>
                </w:tcPr>
                <w:p w14:paraId="79A7BF3D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sz w:val="18"/>
                      <w:szCs w:val="18"/>
                    </w:rPr>
                    <w:t>Ссылка на ресурс с данными о выдаче стартап-визы</w:t>
                  </w:r>
                </w:p>
              </w:tc>
            </w:tr>
            <w:tr w:rsidR="00D0595A" w:rsidRPr="00ED7581" w14:paraId="03F251D5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15A3B5A9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Латвия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447CD489" w14:textId="77777777" w:rsidR="00D0595A" w:rsidRPr="00ED7581" w:rsidRDefault="00BC5D9A" w:rsidP="00D66FE0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0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>Латвийское агентств</w:t>
                    </w:r>
                    <w:r w:rsidR="00D66FE0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>о</w:t>
                    </w:r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 инвестиций и развития</w:t>
                    </w:r>
                  </w:hyperlink>
                </w:p>
              </w:tc>
            </w:tr>
            <w:tr w:rsidR="00D0595A" w:rsidRPr="00ED7581" w14:paraId="722C621E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023A057D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Италия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06F14D3A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1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>Политика правительства для привлечения и удержания инновационных предпринимателей</w:t>
                    </w:r>
                  </w:hyperlink>
                </w:p>
              </w:tc>
            </w:tr>
            <w:tr w:rsidR="00D0595A" w:rsidRPr="00ED7581" w14:paraId="5E6066B0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2BBD04A3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Испания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0D67B390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2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>Министерство иностранных дел и международного сотрудничества</w:t>
                    </w:r>
                  </w:hyperlink>
                </w:p>
              </w:tc>
            </w:tr>
            <w:tr w:rsidR="00D0595A" w:rsidRPr="00ED7581" w14:paraId="7032863A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335063CD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Нидерланды</w:t>
                  </w:r>
                </w:p>
              </w:tc>
              <w:tc>
                <w:tcPr>
                  <w:tcW w:w="6652" w:type="dxa"/>
                  <w:vAlign w:val="center"/>
                </w:tcPr>
                <w:p w14:paraId="2E117E99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3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Служба иммиграции и натурализации в Нидерландах </w:t>
                    </w:r>
                  </w:hyperlink>
                </w:p>
              </w:tc>
            </w:tr>
            <w:tr w:rsidR="00D0595A" w:rsidRPr="00ED7581" w14:paraId="69120AFC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5D544652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Кипр</w:t>
                  </w:r>
                </w:p>
              </w:tc>
              <w:tc>
                <w:tcPr>
                  <w:tcW w:w="6652" w:type="dxa"/>
                  <w:vAlign w:val="center"/>
                </w:tcPr>
                <w:p w14:paraId="051A9D52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4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Цифровой шлюз для сертифицированных инновационных предприятий Кипра </w:t>
                    </w:r>
                  </w:hyperlink>
                </w:p>
              </w:tc>
            </w:tr>
            <w:tr w:rsidR="00D0595A" w:rsidRPr="00ED7581" w14:paraId="224037B4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743C4839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Эстония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47ABBB60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5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Программа Startup Estonia </w:t>
                    </w:r>
                  </w:hyperlink>
                </w:p>
              </w:tc>
            </w:tr>
            <w:tr w:rsidR="00D0595A" w:rsidRPr="00ED7581" w14:paraId="4F1C2E9E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14A5C877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Чехия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37082910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6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>Министерство иностранных дел Чехии</w:t>
                    </w:r>
                  </w:hyperlink>
                </w:p>
              </w:tc>
            </w:tr>
            <w:tr w:rsidR="00D0595A" w:rsidRPr="00ED7581" w14:paraId="1EA715D5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07353B25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Польша</w:t>
                  </w:r>
                </w:p>
              </w:tc>
              <w:tc>
                <w:tcPr>
                  <w:tcW w:w="6652" w:type="dxa"/>
                  <w:vAlign w:val="center"/>
                </w:tcPr>
                <w:p w14:paraId="202AA275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7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Официальный сайт Республики Польша </w:t>
                    </w:r>
                  </w:hyperlink>
                </w:p>
              </w:tc>
            </w:tr>
            <w:tr w:rsidR="00D0595A" w:rsidRPr="00ED7581" w14:paraId="53E52119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0AFD501E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Германия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32F74A2B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8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Программа «Сделай это в Германии» </w:t>
                    </w:r>
                  </w:hyperlink>
                </w:p>
              </w:tc>
            </w:tr>
            <w:tr w:rsidR="00D0595A" w:rsidRPr="00ED7581" w14:paraId="653D9D72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18338EE1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Франция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0CFD1C91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9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>Французская технологическая миссия</w:t>
                    </w:r>
                  </w:hyperlink>
                </w:p>
              </w:tc>
            </w:tr>
            <w:tr w:rsidR="00D0595A" w:rsidRPr="00ED7581" w14:paraId="64127F48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07CE1627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Литва</w:t>
                  </w:r>
                </w:p>
              </w:tc>
              <w:tc>
                <w:tcPr>
                  <w:tcW w:w="6652" w:type="dxa"/>
                  <w:vAlign w:val="center"/>
                </w:tcPr>
                <w:p w14:paraId="083493B0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20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Агентство инноваций Литвы </w:t>
                    </w:r>
                  </w:hyperlink>
                </w:p>
              </w:tc>
            </w:tr>
            <w:tr w:rsidR="00D0595A" w:rsidRPr="00ED7581" w14:paraId="6DEACCD9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34A9DDC6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Португалия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73ADCEFE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21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Министерство иностранных дел </w:t>
                    </w:r>
                  </w:hyperlink>
                </w:p>
              </w:tc>
            </w:tr>
            <w:tr w:rsidR="00D0595A" w:rsidRPr="00ED7581" w14:paraId="34B73066" w14:textId="77777777" w:rsidTr="00D0595A">
              <w:trPr>
                <w:jc w:val="center"/>
              </w:trPr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63C1944B" w14:textId="77777777" w:rsidR="00D0595A" w:rsidRPr="00ED7581" w:rsidRDefault="00D0595A" w:rsidP="00D0595A">
                  <w:pPr>
                    <w:pStyle w:val="a9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 w:rsidRPr="00ED7581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Дания</w:t>
                  </w:r>
                </w:p>
              </w:tc>
              <w:tc>
                <w:tcPr>
                  <w:tcW w:w="6652" w:type="dxa"/>
                  <w:vAlign w:val="center"/>
                </w:tcPr>
                <w:p w14:paraId="1462FE01" w14:textId="77777777" w:rsidR="00D0595A" w:rsidRPr="00ED7581" w:rsidRDefault="00BC5D9A" w:rsidP="00D0595A">
                  <w:pPr>
                    <w:pStyle w:val="a9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22" w:tgtFrame="_blank" w:history="1">
                    <w:r w:rsidR="00D0595A" w:rsidRPr="00ED7581">
                      <w:rPr>
                        <w:rFonts w:ascii="Verdana" w:hAnsi="Verdana"/>
                        <w:color w:val="0000FF"/>
                        <w:sz w:val="18"/>
                        <w:szCs w:val="18"/>
                        <w:u w:val="single"/>
                      </w:rPr>
                      <w:t xml:space="preserve">Программа «Стартап Дания» </w:t>
                    </w:r>
                  </w:hyperlink>
                </w:p>
              </w:tc>
            </w:tr>
          </w:tbl>
          <w:p w14:paraId="72C89032" w14:textId="77777777" w:rsidR="00F57BBC" w:rsidRPr="00ED7581" w:rsidRDefault="00F57BBC" w:rsidP="00B144AB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Помимо ЕС стартап-визы выдают в Великобритании, Чили, Сингапуре, Канаде, Новой Зеландии и США.</w:t>
            </w:r>
          </w:p>
        </w:tc>
      </w:tr>
      <w:tr w:rsidR="00F57BBC" w:rsidRPr="00ED7581" w14:paraId="55139F39" w14:textId="77777777" w:rsidTr="004536F1">
        <w:tc>
          <w:tcPr>
            <w:tcW w:w="2552" w:type="dxa"/>
          </w:tcPr>
          <w:p w14:paraId="19B70FC3" w14:textId="77777777" w:rsidR="00F57BBC" w:rsidRPr="00ED7581" w:rsidRDefault="00F57BBC" w:rsidP="00F57BBC">
            <w:pPr>
              <w:pStyle w:val="a9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D7581">
              <w:rPr>
                <w:rFonts w:ascii="Verdana" w:hAnsi="Verdana"/>
                <w:i/>
                <w:sz w:val="18"/>
                <w:szCs w:val="18"/>
                <w:u w:val="single"/>
              </w:rPr>
              <w:t>Миф 2.</w:t>
            </w:r>
            <w:r w:rsidRPr="00ED7581">
              <w:rPr>
                <w:rFonts w:ascii="Verdana" w:hAnsi="Verdana"/>
                <w:b/>
                <w:i/>
                <w:sz w:val="18"/>
                <w:szCs w:val="18"/>
              </w:rPr>
              <w:t xml:space="preserve"> Открыть компанию за рубежом проще, так как там меньше бюрократических процедур.</w:t>
            </w:r>
          </w:p>
        </w:tc>
        <w:tc>
          <w:tcPr>
            <w:tcW w:w="8647" w:type="dxa"/>
          </w:tcPr>
          <w:p w14:paraId="1EE47A84" w14:textId="77777777" w:rsidR="00F57BBC" w:rsidRPr="00ED7581" w:rsidRDefault="00C11D34" w:rsidP="00F57BBC">
            <w:pPr>
              <w:pStyle w:val="a9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Р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>ешение по бизнесу инвестора</w:t>
            </w:r>
            <w:r w:rsidR="006D2241" w:rsidRPr="00ED7581">
              <w:rPr>
                <w:rFonts w:ascii="Verdana" w:hAnsi="Verdana"/>
                <w:sz w:val="18"/>
                <w:szCs w:val="18"/>
              </w:rPr>
              <w:t>,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 xml:space="preserve"> так или иначе</w:t>
            </w:r>
            <w:r w:rsidR="006D2241" w:rsidRPr="00ED7581">
              <w:rPr>
                <w:rFonts w:ascii="Verdana" w:hAnsi="Verdana"/>
                <w:sz w:val="18"/>
                <w:szCs w:val="18"/>
              </w:rPr>
              <w:t>,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 xml:space="preserve"> будут принимать госслужащие. </w:t>
            </w:r>
            <w:r w:rsidR="006D2241" w:rsidRPr="00ED7581">
              <w:rPr>
                <w:rFonts w:ascii="Verdana" w:hAnsi="Verdana"/>
                <w:sz w:val="18"/>
                <w:szCs w:val="18"/>
              </w:rPr>
              <w:t>О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>т утомительного процесса сбора документов не уйти ни в одной в стране. Где-то их будет больше, где-то меньше, но получить господдержку</w:t>
            </w:r>
            <w:r w:rsidR="006D2241" w:rsidRPr="00ED75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>все равно будет непросто.</w:t>
            </w:r>
          </w:p>
          <w:p w14:paraId="3E3CE927" w14:textId="77777777" w:rsidR="00F57BBC" w:rsidRPr="00ED7581" w:rsidRDefault="00F57BBC" w:rsidP="006D2241">
            <w:pPr>
              <w:pStyle w:val="a9"/>
              <w:numPr>
                <w:ilvl w:val="0"/>
                <w:numId w:val="3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Очень многие документы из РФ необходимо переводить и заверять у юристов, верифицируя их апостилем.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Практически везде придется доказывать доход, при этом, учитывая сложности в открытии счетов в зарубежных банках, труднее будет именно положить деньги на счет, чем собрать требуемую сумму. </w:t>
            </w:r>
          </w:p>
          <w:p w14:paraId="41C956C8" w14:textId="77777777" w:rsidR="00F57BBC" w:rsidRPr="00ED7581" w:rsidRDefault="006D2241" w:rsidP="006D2241">
            <w:pPr>
              <w:pStyle w:val="a9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Н</w:t>
            </w:r>
            <w:r w:rsidR="00F57BBC" w:rsidRPr="00ED7581">
              <w:rPr>
                <w:rFonts w:ascii="Verdana" w:hAnsi="Verdana"/>
                <w:sz w:val="18"/>
                <w:szCs w:val="18"/>
                <w:u w:val="single"/>
              </w:rPr>
              <w:t>еобходимо регистрироваться не только в госорганах, но и в местных профильных ассоциациях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>. Например, чтобы получить стартап-визу в Нидерландах, необходимо пройти регистрацию в местной Торгово-промышленной палате (</w:t>
            </w:r>
            <w:hyperlink r:id="rId23" w:history="1">
              <w:r w:rsidR="00F57BBC" w:rsidRPr="00ED7581">
                <w:rPr>
                  <w:rStyle w:val="ac"/>
                  <w:rFonts w:ascii="Verdana" w:hAnsi="Verdana"/>
                  <w:sz w:val="18"/>
                  <w:szCs w:val="18"/>
                </w:rPr>
                <w:t>KVK</w:t>
              </w:r>
            </w:hyperlink>
            <w:r w:rsidR="00F57BBC" w:rsidRPr="00ED7581">
              <w:rPr>
                <w:rFonts w:ascii="Verdana" w:hAnsi="Verdana"/>
                <w:sz w:val="18"/>
                <w:szCs w:val="18"/>
              </w:rPr>
              <w:t>):</w:t>
            </w:r>
          </w:p>
          <w:p w14:paraId="641319C9" w14:textId="77777777" w:rsidR="00F57BBC" w:rsidRPr="00ED7581" w:rsidRDefault="00F57BBC" w:rsidP="006D2241">
            <w:pPr>
              <w:pStyle w:val="a9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попасть в торговый реестр KVK;</w:t>
            </w:r>
          </w:p>
          <w:p w14:paraId="4BD119C6" w14:textId="77777777" w:rsidR="00F57BBC" w:rsidRPr="00ED7581" w:rsidRDefault="00F57BBC" w:rsidP="006D2241">
            <w:pPr>
              <w:pStyle w:val="a9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доказать, что предприниматель не только акционер, но еще и играет в компании ведущую роль.</w:t>
            </w:r>
          </w:p>
          <w:p w14:paraId="2FD68E08" w14:textId="77777777" w:rsidR="00F57BBC" w:rsidRPr="00ED7581" w:rsidRDefault="00F57BBC" w:rsidP="006D2241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lastRenderedPageBreak/>
              <w:t>Поэтому если предприниматель считает ту или иную юрисдикцию выгодной в плане налогов для открытия своей компании, то траты времени и нервов на выполнение бюрократических процедур все равно не избежать.</w:t>
            </w:r>
          </w:p>
        </w:tc>
      </w:tr>
      <w:tr w:rsidR="00F57BBC" w:rsidRPr="00ED7581" w14:paraId="41E105DC" w14:textId="77777777" w:rsidTr="004536F1">
        <w:tc>
          <w:tcPr>
            <w:tcW w:w="2552" w:type="dxa"/>
          </w:tcPr>
          <w:p w14:paraId="6CD03122" w14:textId="77777777" w:rsidR="00F57BBC" w:rsidRPr="00ED7581" w:rsidRDefault="00F57BBC" w:rsidP="00F57BBC">
            <w:pPr>
              <w:pStyle w:val="a9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D7581">
              <w:rPr>
                <w:rFonts w:ascii="Verdana" w:hAnsi="Verdana"/>
                <w:i/>
                <w:sz w:val="18"/>
                <w:szCs w:val="18"/>
                <w:u w:val="single"/>
              </w:rPr>
              <w:lastRenderedPageBreak/>
              <w:t>Миф 3</w:t>
            </w:r>
            <w:r w:rsidRPr="00ED7581">
              <w:rPr>
                <w:rFonts w:ascii="Verdana" w:hAnsi="Verdana"/>
                <w:b/>
                <w:i/>
                <w:sz w:val="18"/>
                <w:szCs w:val="18"/>
              </w:rPr>
              <w:t>. ОАЭ — безналоговая юрисдикция</w:t>
            </w:r>
          </w:p>
        </w:tc>
        <w:tc>
          <w:tcPr>
            <w:tcW w:w="8647" w:type="dxa"/>
          </w:tcPr>
          <w:p w14:paraId="09F9E6FB" w14:textId="77777777" w:rsidR="00F57BBC" w:rsidRPr="00ED7581" w:rsidRDefault="00F57BBC" w:rsidP="00F57BBC">
            <w:pPr>
              <w:pStyle w:val="a9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Дубай и другие эмираты ОАЭ не являются самыми выгодными в плане налогообложения, особенно для малого и среднего бизнеса.</w:t>
            </w:r>
          </w:p>
          <w:p w14:paraId="531EE7F3" w14:textId="77777777" w:rsidR="00F57BBC" w:rsidRPr="00ED7581" w:rsidRDefault="00F57BBC" w:rsidP="00B61537">
            <w:pPr>
              <w:pStyle w:val="a9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В стране закончился «полноценный» офшорный период развития.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Он завершился в июне 2023 года. Налоги стали взиматься с общемирового дохода налогоплательщиков, в т</w:t>
            </w:r>
            <w:r w:rsidR="00B61537" w:rsidRPr="00ED7581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ED7581">
              <w:rPr>
                <w:rFonts w:ascii="Verdana" w:hAnsi="Verdana"/>
                <w:sz w:val="18"/>
                <w:szCs w:val="18"/>
              </w:rPr>
              <w:t>ч</w:t>
            </w:r>
            <w:r w:rsidR="00B61537" w:rsidRPr="00ED7581">
              <w:rPr>
                <w:rFonts w:ascii="Verdana" w:hAnsi="Verdana"/>
                <w:sz w:val="18"/>
                <w:szCs w:val="18"/>
              </w:rPr>
              <w:t>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и тех, кто зарегистрирован в особых зонах свободной торговли</w:t>
            </w:r>
            <w:r w:rsidR="00B61537" w:rsidRPr="00ED7581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ED7581">
              <w:rPr>
                <w:rFonts w:ascii="Verdana" w:hAnsi="Verdana"/>
                <w:sz w:val="18"/>
                <w:szCs w:val="18"/>
              </w:rPr>
              <w:t>free zone</w:t>
            </w:r>
            <w:r w:rsidR="00B61537" w:rsidRPr="00ED7581">
              <w:rPr>
                <w:rFonts w:ascii="Verdana" w:hAnsi="Verdana"/>
                <w:sz w:val="18"/>
                <w:szCs w:val="18"/>
              </w:rPr>
              <w:t>)</w:t>
            </w:r>
            <w:r w:rsidRPr="00ED7581">
              <w:rPr>
                <w:rFonts w:ascii="Verdana" w:hAnsi="Verdana"/>
                <w:sz w:val="18"/>
                <w:szCs w:val="18"/>
              </w:rPr>
              <w:t>. Министерство финансов ОАЭ определило корпоративный налог в размере 9% от дохода, который должны уплачивать:</w:t>
            </w:r>
          </w:p>
          <w:p w14:paraId="63B53B07" w14:textId="77777777" w:rsidR="00F57BBC" w:rsidRPr="00ED7581" w:rsidRDefault="00F57BBC" w:rsidP="00B61537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 xml:space="preserve">компании с прибылью свыше 375 000 дирхамов в год, это примерно 8 250 000 </w:t>
            </w:r>
            <w:r w:rsidRPr="00ED7581">
              <w:rPr>
                <w:rFonts w:ascii="Arial" w:hAnsi="Arial" w:cs="Arial"/>
                <w:sz w:val="18"/>
                <w:szCs w:val="18"/>
              </w:rPr>
              <w:t>₽</w:t>
            </w:r>
            <w:r w:rsidRPr="00ED7581">
              <w:rPr>
                <w:rFonts w:ascii="Verdana" w:hAnsi="Verdana"/>
                <w:sz w:val="18"/>
                <w:szCs w:val="18"/>
              </w:rPr>
              <w:t>;</w:t>
            </w:r>
          </w:p>
          <w:p w14:paraId="3AA66F02" w14:textId="77777777" w:rsidR="00F57BBC" w:rsidRPr="00ED7581" w:rsidRDefault="00F57BBC" w:rsidP="00B61537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 xml:space="preserve">физлица, занимающиеся коммерческой деятельностью с годовым оборотом более 1 </w:t>
            </w:r>
            <w:r w:rsidR="00D66FE0" w:rsidRPr="00ED7581">
              <w:rPr>
                <w:rFonts w:ascii="Verdana" w:hAnsi="Verdana"/>
                <w:sz w:val="18"/>
                <w:szCs w:val="18"/>
              </w:rPr>
              <w:t>млн.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дирхамов.</w:t>
            </w:r>
          </w:p>
          <w:p w14:paraId="1DFD760C" w14:textId="77777777" w:rsidR="00F57BBC" w:rsidRPr="00ED7581" w:rsidRDefault="00F57BBC" w:rsidP="00B61537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Это нововведение коснулось как free zone, так и mainland-зон в ОАЭ. При этом регистрация по адресу в той или иной зоне дает определенные преимущества для компаний в зависимости от отрасли деятельности.</w:t>
            </w:r>
          </w:p>
          <w:p w14:paraId="1FA6676E" w14:textId="77777777" w:rsidR="00F57BBC" w:rsidRPr="00ED7581" w:rsidRDefault="00F57BBC" w:rsidP="00B61537">
            <w:pPr>
              <w:pStyle w:val="a9"/>
              <w:numPr>
                <w:ilvl w:val="0"/>
                <w:numId w:val="4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В среднем регистрация компании обходилась в 10 000—12 000 $ госпошлины.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Такая стоимость была еще до налоговых нововведений. Также для оформления бизнеса требовалось обязательное ежегодное продление лицензии, которое стоило примерно так же, как и госпошлина, и было своего рода завуалированным налогом.</w:t>
            </w:r>
          </w:p>
          <w:p w14:paraId="4DDA9BDC" w14:textId="77777777" w:rsidR="00F57BBC" w:rsidRPr="00ED7581" w:rsidRDefault="00B15057" w:rsidP="00B61537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Д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>ля крупного бизнеса налоговый режим ОАЭ остается привлекательным, так как налоги на прибыль в стране все еще значительно ниже, чем в РФ и тем более в Европе.</w:t>
            </w:r>
          </w:p>
          <w:p w14:paraId="569A29E7" w14:textId="77777777" w:rsidR="00B15057" w:rsidRPr="00ED7581" w:rsidRDefault="00F57BBC" w:rsidP="00B61537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Для россиян получение корпоративного счета в местном банке остается трудным.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Эту сложность отмечают юристы, специализирующиеся на помощи в регистрации компаний в ОАЭ.</w:t>
            </w:r>
            <w:r w:rsidR="00B15057" w:rsidRPr="00ED758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3465ABB" w14:textId="77777777" w:rsidR="00F57BBC" w:rsidRPr="00ED7581" w:rsidRDefault="00F57BBC" w:rsidP="00B15057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Как правило, необходимо внести не менее 500 000 дирхамов на депозит в банк. Банк обещает их вернуть после года использования — раньше срока снять эти деньги невозможно.</w:t>
            </w:r>
          </w:p>
          <w:p w14:paraId="6D13B3A3" w14:textId="77777777" w:rsidR="00F57BBC" w:rsidRPr="00ED7581" w:rsidRDefault="00F57BBC" w:rsidP="00B15057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Проверки документов в банке и открытия счета нужно ждать 3—6 месяцев. При этом счет могут закрыть внезапно и без объяснения причин. В том числе и потому, что банки ОАЭ дорожат отношениями и с США и не хотят подпасть под санкции.</w:t>
            </w:r>
          </w:p>
          <w:p w14:paraId="27DF7039" w14:textId="77777777" w:rsidR="00F57BBC" w:rsidRPr="00ED7581" w:rsidRDefault="00F57BBC" w:rsidP="00B15057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 xml:space="preserve">То, что ОАЭ — безналоговая юрисдикция, — очень распространенный миф, который отчасти объясняется эффектным имиджем Эмиратов в РФ, хорошими отношениями между странами и растущим турпотоком россиян в эту страну. Все это </w:t>
            </w:r>
            <w:r w:rsidR="00B15057" w:rsidRPr="00ED7581">
              <w:rPr>
                <w:rFonts w:ascii="Verdana" w:hAnsi="Verdana"/>
                <w:sz w:val="18"/>
                <w:szCs w:val="18"/>
              </w:rPr>
              <w:t>так</w:t>
            </w:r>
            <w:r w:rsidRPr="00ED7581">
              <w:rPr>
                <w:rFonts w:ascii="Verdana" w:hAnsi="Verdana"/>
                <w:sz w:val="18"/>
                <w:szCs w:val="18"/>
              </w:rPr>
              <w:t>, но на практике для открытия бизнеса дела обстоят сложнее</w:t>
            </w:r>
            <w:r w:rsidR="00B15057" w:rsidRPr="00ED7581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57BBC" w:rsidRPr="00ED7581" w14:paraId="28F5FAD8" w14:textId="77777777" w:rsidTr="004536F1">
        <w:tc>
          <w:tcPr>
            <w:tcW w:w="2552" w:type="dxa"/>
          </w:tcPr>
          <w:p w14:paraId="70AAA9E0" w14:textId="77777777" w:rsidR="00F57BBC" w:rsidRPr="00ED7581" w:rsidRDefault="00F57BBC" w:rsidP="00F57BBC">
            <w:pPr>
              <w:pStyle w:val="a9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D7581">
              <w:rPr>
                <w:rFonts w:ascii="Verdana" w:hAnsi="Verdana"/>
                <w:i/>
                <w:sz w:val="18"/>
                <w:szCs w:val="18"/>
                <w:u w:val="single"/>
              </w:rPr>
              <w:t>Миф 4</w:t>
            </w:r>
            <w:r w:rsidRPr="00ED7581">
              <w:rPr>
                <w:rFonts w:ascii="Verdana" w:hAnsi="Verdana"/>
                <w:b/>
                <w:i/>
                <w:sz w:val="18"/>
                <w:szCs w:val="18"/>
              </w:rPr>
              <w:t>. Компанию за рубежом обязательно открывают, чтобы зарабатывать деньги.</w:t>
            </w:r>
          </w:p>
        </w:tc>
        <w:tc>
          <w:tcPr>
            <w:tcW w:w="8647" w:type="dxa"/>
          </w:tcPr>
          <w:p w14:paraId="5E43F839" w14:textId="77777777" w:rsidR="00F57BBC" w:rsidRPr="00ED7581" w:rsidRDefault="001D62C9" w:rsidP="00F57BBC">
            <w:pPr>
              <w:pStyle w:val="a9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Д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>овольно часто мотивом открытия компании становится желание закрепиться в стране, которая предоставляет возможности для сравнительно простой регистрации бизнеса и дополнительные льготы тем, кто это сделает</w:t>
            </w:r>
            <w:r w:rsidRPr="00ED7581">
              <w:rPr>
                <w:rFonts w:ascii="Verdana" w:hAnsi="Verdana"/>
                <w:sz w:val="18"/>
                <w:szCs w:val="18"/>
              </w:rPr>
              <w:t>. Чаще всего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 xml:space="preserve"> эти документы нашим соотечественникам нужны для работы в третьих странах или для взаимодействия с зарубежными финансовыми институтами.</w:t>
            </w:r>
          </w:p>
          <w:p w14:paraId="70969AAA" w14:textId="77777777" w:rsidR="00F57BBC" w:rsidRPr="00ED7581" w:rsidRDefault="00F57BBC" w:rsidP="001D62C9">
            <w:pPr>
              <w:pStyle w:val="a9"/>
              <w:numPr>
                <w:ilvl w:val="0"/>
                <w:numId w:val="4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В Черногории действует программа «ВНЖ за открытие бизнеса».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Это </w:t>
            </w:r>
            <w:hyperlink r:id="rId24" w:history="1">
              <w:r w:rsidRPr="00ED7581">
                <w:rPr>
                  <w:rStyle w:val="ac"/>
                  <w:rFonts w:ascii="Verdana" w:hAnsi="Verdana"/>
                  <w:sz w:val="18"/>
                  <w:szCs w:val="18"/>
                </w:rPr>
                <w:t>программа</w:t>
              </w:r>
            </w:hyperlink>
            <w:r w:rsidRPr="00ED7581">
              <w:rPr>
                <w:rFonts w:ascii="Verdana" w:hAnsi="Verdana"/>
                <w:sz w:val="18"/>
                <w:szCs w:val="18"/>
              </w:rPr>
              <w:t>, при которой регистрация компаний в стране проста и не требует прохождения очень сложных юридических процедур, а обязательный уставной капитал — символический 1 €. Это привело к тому, что в 2022 году россияне открыли в стране 2600 компаний, в 2023 — еще около 3400</w:t>
            </w:r>
            <w:r w:rsidR="00794454" w:rsidRPr="00ED7581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F054A0" w:rsidRPr="00ED7581">
              <w:rPr>
                <w:rFonts w:ascii="Verdana" w:hAnsi="Verdana"/>
                <w:sz w:val="18"/>
                <w:szCs w:val="18"/>
              </w:rPr>
              <w:t>д</w:t>
            </w:r>
            <w:r w:rsidR="00794454" w:rsidRPr="00ED7581">
              <w:rPr>
                <w:rFonts w:ascii="Verdana" w:hAnsi="Verdana"/>
                <w:sz w:val="18"/>
                <w:szCs w:val="18"/>
              </w:rPr>
              <w:t>анны</w:t>
            </w:r>
            <w:r w:rsidR="00F054A0" w:rsidRPr="00ED7581">
              <w:rPr>
                <w:rFonts w:ascii="Verdana" w:hAnsi="Verdana"/>
                <w:sz w:val="18"/>
                <w:szCs w:val="18"/>
              </w:rPr>
              <w:t>е</w:t>
            </w:r>
            <w:r w:rsidR="00794454" w:rsidRPr="00ED7581">
              <w:rPr>
                <w:rFonts w:ascii="Verdana" w:hAnsi="Verdana"/>
                <w:sz w:val="18"/>
                <w:szCs w:val="18"/>
              </w:rPr>
              <w:t xml:space="preserve"> МВД Черногории).</w:t>
            </w:r>
          </w:p>
          <w:p w14:paraId="5CB8648A" w14:textId="77777777" w:rsidR="00F57BBC" w:rsidRPr="00ED7581" w:rsidRDefault="00F57BBC" w:rsidP="00F054A0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Основное направление деятельности — сфера услуг: туризм — экскурсии и отели, а также кафе и рестораны.</w:t>
            </w:r>
          </w:p>
        </w:tc>
      </w:tr>
      <w:tr w:rsidR="00F57BBC" w:rsidRPr="00ED7581" w14:paraId="0B5ED3C3" w14:textId="77777777" w:rsidTr="004536F1">
        <w:tc>
          <w:tcPr>
            <w:tcW w:w="2552" w:type="dxa"/>
          </w:tcPr>
          <w:p w14:paraId="7FA4FBD8" w14:textId="77777777" w:rsidR="00F57BBC" w:rsidRPr="00ED7581" w:rsidRDefault="00F57BBC" w:rsidP="00F57BBC">
            <w:pPr>
              <w:pStyle w:val="a9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D7581">
              <w:rPr>
                <w:rFonts w:ascii="Verdana" w:hAnsi="Verdana"/>
                <w:i/>
                <w:sz w:val="18"/>
                <w:szCs w:val="18"/>
                <w:u w:val="single"/>
              </w:rPr>
              <w:t>Миф 5.</w:t>
            </w:r>
            <w:r w:rsidRPr="00ED7581">
              <w:rPr>
                <w:rFonts w:ascii="Verdana" w:hAnsi="Verdana"/>
                <w:b/>
                <w:i/>
                <w:sz w:val="18"/>
                <w:szCs w:val="18"/>
              </w:rPr>
              <w:t xml:space="preserve"> Некоторые островные офшорные территории в Тихом океане — прерогатива исключительно миллиардеров</w:t>
            </w:r>
            <w:r w:rsidR="00ED7581" w:rsidRPr="00ED7581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647" w:type="dxa"/>
          </w:tcPr>
          <w:p w14:paraId="775E8354" w14:textId="77777777" w:rsidR="00F57BBC" w:rsidRPr="00ED7581" w:rsidRDefault="00F57BBC" w:rsidP="00F57BBC">
            <w:pPr>
              <w:pStyle w:val="a9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Это мнение связано, скорее, с удаленностью этих островов от РФ и высокой стоимостью перелета.</w:t>
            </w:r>
          </w:p>
          <w:p w14:paraId="7FE12313" w14:textId="77777777" w:rsidR="00F57BBC" w:rsidRPr="00ED7581" w:rsidRDefault="00F57BBC" w:rsidP="00ED7581">
            <w:pPr>
              <w:pStyle w:val="a9"/>
              <w:numPr>
                <w:ilvl w:val="0"/>
                <w:numId w:val="4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  <w:u w:val="single"/>
              </w:rPr>
              <w:t>Стоимость регистрации компании на Британских Виргинских Островах составляет около 2000 $.</w:t>
            </w:r>
            <w:r w:rsidRPr="00ED7581">
              <w:rPr>
                <w:rFonts w:ascii="Verdana" w:hAnsi="Verdana"/>
                <w:sz w:val="18"/>
                <w:szCs w:val="18"/>
              </w:rPr>
              <w:t xml:space="preserve"> Это с учетом госпошлин и стоимости юридических консультаций от русскоязычных юристов. Но открытие счета в одном из местных банков намного затратнее — необходимо положить на депозит не менее 100 000 $.</w:t>
            </w:r>
          </w:p>
          <w:p w14:paraId="7B0B8FF4" w14:textId="77777777" w:rsidR="00F57BBC" w:rsidRPr="00ED7581" w:rsidRDefault="00ED7581" w:rsidP="00ED7581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Э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 xml:space="preserve">ти суммы не являются запредельными для многих состоятельных россиян. </w:t>
            </w:r>
            <w:r>
              <w:rPr>
                <w:rFonts w:ascii="Verdana" w:hAnsi="Verdana"/>
                <w:sz w:val="18"/>
                <w:szCs w:val="18"/>
              </w:rPr>
              <w:t>Н</w:t>
            </w:r>
            <w:r w:rsidR="00F57BBC" w:rsidRPr="00ED7581">
              <w:rPr>
                <w:rFonts w:ascii="Verdana" w:hAnsi="Verdana"/>
                <w:sz w:val="18"/>
                <w:szCs w:val="18"/>
              </w:rPr>
              <w:t>о, учитывая состояние отношений России и Запада, в настоящее время регистрация компаний на БВО крайне затруднительна для граждан РФ и опасно с точки зрения конфискации или заморозки денег на счету.</w:t>
            </w:r>
          </w:p>
          <w:p w14:paraId="059E6DD1" w14:textId="77777777" w:rsidR="00F57BBC" w:rsidRPr="00ED7581" w:rsidRDefault="00F57BBC" w:rsidP="00ED7581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 xml:space="preserve">Кроме того, Британские Виргинские Острова включены ФНС России в </w:t>
            </w:r>
            <w:hyperlink r:id="rId25" w:history="1">
              <w:r w:rsidRPr="00ED7581">
                <w:rPr>
                  <w:rStyle w:val="ac"/>
                  <w:rFonts w:ascii="Verdana" w:hAnsi="Verdana"/>
                  <w:sz w:val="18"/>
                  <w:szCs w:val="18"/>
                </w:rPr>
                <w:t>список офшоров</w:t>
              </w:r>
            </w:hyperlink>
            <w:r w:rsidRPr="00ED7581">
              <w:rPr>
                <w:rFonts w:ascii="Verdana" w:hAnsi="Verdana"/>
                <w:sz w:val="18"/>
                <w:szCs w:val="18"/>
              </w:rPr>
              <w:t>. Это значит, что россияне — владельцы компаний на БВО — должны выплачивать ряд налогов в РФ. Так, для российских холдингов действуют ограничения:</w:t>
            </w:r>
          </w:p>
          <w:p w14:paraId="29E7AD3D" w14:textId="77777777" w:rsidR="00F57BBC" w:rsidRPr="00ED7581" w:rsidRDefault="00F57BBC" w:rsidP="00ED7581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не работает освобождение от налогообложения при продаже акций иностранных «дочек»;</w:t>
            </w:r>
          </w:p>
          <w:p w14:paraId="37EDCD7C" w14:textId="77777777" w:rsidR="00F57BBC" w:rsidRPr="00ED7581" w:rsidRDefault="00F57BBC" w:rsidP="00ED7581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отменены льготы по дивидендам;</w:t>
            </w:r>
          </w:p>
          <w:p w14:paraId="38F0DD19" w14:textId="77777777" w:rsidR="00F57BBC" w:rsidRPr="00ED7581" w:rsidRDefault="00F57BBC" w:rsidP="00ED7581">
            <w:pPr>
              <w:pStyle w:val="a9"/>
              <w:numPr>
                <w:ilvl w:val="0"/>
                <w:numId w:val="4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ED7581">
              <w:rPr>
                <w:rFonts w:ascii="Verdana" w:hAnsi="Verdana"/>
                <w:sz w:val="18"/>
                <w:szCs w:val="18"/>
              </w:rPr>
              <w:t>с 1 июля 2023 года дивиденды из недружественных стран, в том числе и БВО, облагаются налогом по полной ставке в 13%.</w:t>
            </w:r>
          </w:p>
        </w:tc>
      </w:tr>
    </w:tbl>
    <w:p w14:paraId="4FEEA4D9" w14:textId="77777777" w:rsidR="00F57BBC" w:rsidRPr="00ED7581" w:rsidRDefault="00F57BBC" w:rsidP="00F57BBC">
      <w:pPr>
        <w:pStyle w:val="a9"/>
        <w:jc w:val="both"/>
        <w:rPr>
          <w:rFonts w:ascii="Verdana" w:hAnsi="Verdana"/>
          <w:sz w:val="18"/>
          <w:szCs w:val="18"/>
        </w:rPr>
      </w:pPr>
    </w:p>
    <w:sectPr w:rsidR="00F57BBC" w:rsidRPr="00ED7581" w:rsidSect="00C831FD">
      <w:headerReference w:type="even" r:id="rId26"/>
      <w:headerReference w:type="default" r:id="rId27"/>
      <w:headerReference w:type="first" r:id="rId28"/>
      <w:pgSz w:w="11906" w:h="16838"/>
      <w:pgMar w:top="-709" w:right="282" w:bottom="426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5C5D" w14:textId="77777777" w:rsidR="00BC5D9A" w:rsidRDefault="00BC5D9A" w:rsidP="00CE45C0">
      <w:pPr>
        <w:spacing w:after="0" w:line="240" w:lineRule="auto"/>
      </w:pPr>
      <w:r>
        <w:separator/>
      </w:r>
    </w:p>
  </w:endnote>
  <w:endnote w:type="continuationSeparator" w:id="0">
    <w:p w14:paraId="69C27DCB" w14:textId="77777777" w:rsidR="00BC5D9A" w:rsidRDefault="00BC5D9A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DAC6" w14:textId="77777777" w:rsidR="00BC5D9A" w:rsidRDefault="00BC5D9A" w:rsidP="00CE45C0">
      <w:pPr>
        <w:spacing w:after="0" w:line="240" w:lineRule="auto"/>
      </w:pPr>
      <w:r>
        <w:separator/>
      </w:r>
    </w:p>
  </w:footnote>
  <w:footnote w:type="continuationSeparator" w:id="0">
    <w:p w14:paraId="68AC0E3E" w14:textId="77777777" w:rsidR="00BC5D9A" w:rsidRDefault="00BC5D9A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AC5C" w14:textId="77777777" w:rsidR="00CE45C0" w:rsidRDefault="00BC5D9A">
    <w:pPr>
      <w:pStyle w:val="a3"/>
    </w:pPr>
    <w:r>
      <w:rPr>
        <w:noProof/>
        <w:lang w:eastAsia="ru-RU"/>
      </w:rPr>
      <w:pict w14:anchorId="54883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BCAA" w14:textId="77777777" w:rsidR="00CE45C0" w:rsidRDefault="00BC5D9A">
    <w:pPr>
      <w:pStyle w:val="a3"/>
    </w:pPr>
    <w:r>
      <w:rPr>
        <w:noProof/>
        <w:lang w:eastAsia="ru-RU"/>
      </w:rPr>
      <w:pict w14:anchorId="08797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5.35pt;margin-top:-35.4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815" w14:textId="77777777" w:rsidR="00CE45C0" w:rsidRDefault="00BC5D9A">
    <w:pPr>
      <w:pStyle w:val="a3"/>
    </w:pPr>
    <w:r>
      <w:rPr>
        <w:noProof/>
        <w:lang w:eastAsia="ru-RU"/>
      </w:rPr>
      <w:pict w14:anchorId="380C6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C0A"/>
    <w:multiLevelType w:val="hybridMultilevel"/>
    <w:tmpl w:val="E4CA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0376"/>
    <w:multiLevelType w:val="hybridMultilevel"/>
    <w:tmpl w:val="B01213EE"/>
    <w:lvl w:ilvl="0" w:tplc="C0DA0450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16D"/>
    <w:multiLevelType w:val="hybridMultilevel"/>
    <w:tmpl w:val="19B21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3486"/>
    <w:multiLevelType w:val="hybridMultilevel"/>
    <w:tmpl w:val="80D854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E0235"/>
    <w:multiLevelType w:val="hybridMultilevel"/>
    <w:tmpl w:val="A36AB8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E446F"/>
    <w:multiLevelType w:val="hybridMultilevel"/>
    <w:tmpl w:val="1D6C18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82838"/>
    <w:multiLevelType w:val="multilevel"/>
    <w:tmpl w:val="699A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A22AD"/>
    <w:multiLevelType w:val="hybridMultilevel"/>
    <w:tmpl w:val="0C5C9D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600B6"/>
    <w:multiLevelType w:val="hybridMultilevel"/>
    <w:tmpl w:val="CB5630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94453"/>
    <w:multiLevelType w:val="hybridMultilevel"/>
    <w:tmpl w:val="C0FAF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790F"/>
    <w:multiLevelType w:val="hybridMultilevel"/>
    <w:tmpl w:val="F3243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4805"/>
    <w:multiLevelType w:val="multilevel"/>
    <w:tmpl w:val="46D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92035"/>
    <w:multiLevelType w:val="hybridMultilevel"/>
    <w:tmpl w:val="65B8C6C2"/>
    <w:lvl w:ilvl="0" w:tplc="BF00044E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7039"/>
    <w:multiLevelType w:val="hybridMultilevel"/>
    <w:tmpl w:val="3AD43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2CC0"/>
    <w:multiLevelType w:val="hybridMultilevel"/>
    <w:tmpl w:val="1AC67A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2149F"/>
    <w:multiLevelType w:val="multilevel"/>
    <w:tmpl w:val="84C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D10D7"/>
    <w:multiLevelType w:val="multilevel"/>
    <w:tmpl w:val="90E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D42E1"/>
    <w:multiLevelType w:val="hybridMultilevel"/>
    <w:tmpl w:val="E8DE53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1145B1"/>
    <w:multiLevelType w:val="hybridMultilevel"/>
    <w:tmpl w:val="D640D5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DA256F"/>
    <w:multiLevelType w:val="hybridMultilevel"/>
    <w:tmpl w:val="3204437E"/>
    <w:lvl w:ilvl="0" w:tplc="BAEC9FD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D51F8"/>
    <w:multiLevelType w:val="multilevel"/>
    <w:tmpl w:val="B31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22EDA"/>
    <w:multiLevelType w:val="hybridMultilevel"/>
    <w:tmpl w:val="5BBCD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77AFE"/>
    <w:multiLevelType w:val="hybridMultilevel"/>
    <w:tmpl w:val="69DC90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25119"/>
    <w:multiLevelType w:val="hybridMultilevel"/>
    <w:tmpl w:val="004E1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532D8"/>
    <w:multiLevelType w:val="multilevel"/>
    <w:tmpl w:val="981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154E3D"/>
    <w:multiLevelType w:val="hybridMultilevel"/>
    <w:tmpl w:val="A1721E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10B0E"/>
    <w:multiLevelType w:val="hybridMultilevel"/>
    <w:tmpl w:val="882CA8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66526"/>
    <w:multiLevelType w:val="hybridMultilevel"/>
    <w:tmpl w:val="5E58E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E466D"/>
    <w:multiLevelType w:val="hybridMultilevel"/>
    <w:tmpl w:val="90489E2E"/>
    <w:lvl w:ilvl="0" w:tplc="13F0610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AB6"/>
    <w:multiLevelType w:val="hybridMultilevel"/>
    <w:tmpl w:val="8CF287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C76944"/>
    <w:multiLevelType w:val="hybridMultilevel"/>
    <w:tmpl w:val="5906A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36C5C"/>
    <w:multiLevelType w:val="multilevel"/>
    <w:tmpl w:val="A37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A6170"/>
    <w:multiLevelType w:val="multilevel"/>
    <w:tmpl w:val="95C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D2238F"/>
    <w:multiLevelType w:val="multilevel"/>
    <w:tmpl w:val="CB46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C51CE3"/>
    <w:multiLevelType w:val="hybridMultilevel"/>
    <w:tmpl w:val="E654E4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44236D"/>
    <w:multiLevelType w:val="hybridMultilevel"/>
    <w:tmpl w:val="A3081C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43780F"/>
    <w:multiLevelType w:val="hybridMultilevel"/>
    <w:tmpl w:val="34E0FB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A06792"/>
    <w:multiLevelType w:val="hybridMultilevel"/>
    <w:tmpl w:val="25103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C5688"/>
    <w:multiLevelType w:val="hybridMultilevel"/>
    <w:tmpl w:val="CF882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02361"/>
    <w:multiLevelType w:val="hybridMultilevel"/>
    <w:tmpl w:val="0144CB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CA755E"/>
    <w:multiLevelType w:val="hybridMultilevel"/>
    <w:tmpl w:val="C4B00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2F27"/>
    <w:multiLevelType w:val="hybridMultilevel"/>
    <w:tmpl w:val="5C3CCE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4B2539"/>
    <w:multiLevelType w:val="hybridMultilevel"/>
    <w:tmpl w:val="6CC2D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6E3B39"/>
    <w:multiLevelType w:val="hybridMultilevel"/>
    <w:tmpl w:val="7CA41F6C"/>
    <w:lvl w:ilvl="0" w:tplc="DFD47EF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405DE"/>
    <w:multiLevelType w:val="hybridMultilevel"/>
    <w:tmpl w:val="6A90AF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8858FF"/>
    <w:multiLevelType w:val="hybridMultilevel"/>
    <w:tmpl w:val="84E49816"/>
    <w:lvl w:ilvl="0" w:tplc="9E72FB8A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"/>
  </w:num>
  <w:num w:numId="4">
    <w:abstractNumId w:val="29"/>
  </w:num>
  <w:num w:numId="5">
    <w:abstractNumId w:val="37"/>
  </w:num>
  <w:num w:numId="6">
    <w:abstractNumId w:val="2"/>
  </w:num>
  <w:num w:numId="7">
    <w:abstractNumId w:val="22"/>
  </w:num>
  <w:num w:numId="8">
    <w:abstractNumId w:val="35"/>
  </w:num>
  <w:num w:numId="9">
    <w:abstractNumId w:val="25"/>
  </w:num>
  <w:num w:numId="10">
    <w:abstractNumId w:val="0"/>
  </w:num>
  <w:num w:numId="11">
    <w:abstractNumId w:val="5"/>
  </w:num>
  <w:num w:numId="12">
    <w:abstractNumId w:val="40"/>
  </w:num>
  <w:num w:numId="13">
    <w:abstractNumId w:val="11"/>
  </w:num>
  <w:num w:numId="14">
    <w:abstractNumId w:val="16"/>
  </w:num>
  <w:num w:numId="15">
    <w:abstractNumId w:val="32"/>
  </w:num>
  <w:num w:numId="16">
    <w:abstractNumId w:val="6"/>
  </w:num>
  <w:num w:numId="17">
    <w:abstractNumId w:val="33"/>
  </w:num>
  <w:num w:numId="18">
    <w:abstractNumId w:val="31"/>
  </w:num>
  <w:num w:numId="19">
    <w:abstractNumId w:val="24"/>
  </w:num>
  <w:num w:numId="20">
    <w:abstractNumId w:val="20"/>
  </w:num>
  <w:num w:numId="21">
    <w:abstractNumId w:val="15"/>
  </w:num>
  <w:num w:numId="22">
    <w:abstractNumId w:val="26"/>
  </w:num>
  <w:num w:numId="23">
    <w:abstractNumId w:val="38"/>
  </w:num>
  <w:num w:numId="24">
    <w:abstractNumId w:val="45"/>
  </w:num>
  <w:num w:numId="25">
    <w:abstractNumId w:val="41"/>
  </w:num>
  <w:num w:numId="26">
    <w:abstractNumId w:val="27"/>
  </w:num>
  <w:num w:numId="27">
    <w:abstractNumId w:val="19"/>
  </w:num>
  <w:num w:numId="28">
    <w:abstractNumId w:val="18"/>
  </w:num>
  <w:num w:numId="29">
    <w:abstractNumId w:val="30"/>
  </w:num>
  <w:num w:numId="30">
    <w:abstractNumId w:val="43"/>
  </w:num>
  <w:num w:numId="31">
    <w:abstractNumId w:val="23"/>
  </w:num>
  <w:num w:numId="32">
    <w:abstractNumId w:val="42"/>
  </w:num>
  <w:num w:numId="33">
    <w:abstractNumId w:val="44"/>
  </w:num>
  <w:num w:numId="34">
    <w:abstractNumId w:val="39"/>
  </w:num>
  <w:num w:numId="35">
    <w:abstractNumId w:val="13"/>
  </w:num>
  <w:num w:numId="36">
    <w:abstractNumId w:val="28"/>
  </w:num>
  <w:num w:numId="37">
    <w:abstractNumId w:val="8"/>
  </w:num>
  <w:num w:numId="38">
    <w:abstractNumId w:val="9"/>
  </w:num>
  <w:num w:numId="39">
    <w:abstractNumId w:val="1"/>
  </w:num>
  <w:num w:numId="40">
    <w:abstractNumId w:val="3"/>
  </w:num>
  <w:num w:numId="41">
    <w:abstractNumId w:val="7"/>
  </w:num>
  <w:num w:numId="42">
    <w:abstractNumId w:val="21"/>
  </w:num>
  <w:num w:numId="43">
    <w:abstractNumId w:val="17"/>
  </w:num>
  <w:num w:numId="44">
    <w:abstractNumId w:val="34"/>
  </w:num>
  <w:num w:numId="45">
    <w:abstractNumId w:val="10"/>
  </w:num>
  <w:num w:numId="4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A9D"/>
    <w:rsid w:val="00002396"/>
    <w:rsid w:val="000305C6"/>
    <w:rsid w:val="00040B4D"/>
    <w:rsid w:val="000510BE"/>
    <w:rsid w:val="000515B8"/>
    <w:rsid w:val="000562DC"/>
    <w:rsid w:val="000613DE"/>
    <w:rsid w:val="000618EB"/>
    <w:rsid w:val="000651B8"/>
    <w:rsid w:val="00065D09"/>
    <w:rsid w:val="00076BDE"/>
    <w:rsid w:val="00077271"/>
    <w:rsid w:val="0008126E"/>
    <w:rsid w:val="00085C7B"/>
    <w:rsid w:val="00086879"/>
    <w:rsid w:val="000961FE"/>
    <w:rsid w:val="000A5363"/>
    <w:rsid w:val="000A70C4"/>
    <w:rsid w:val="000A7937"/>
    <w:rsid w:val="000B4858"/>
    <w:rsid w:val="000C3C30"/>
    <w:rsid w:val="000D05BE"/>
    <w:rsid w:val="000E4985"/>
    <w:rsid w:val="000F1033"/>
    <w:rsid w:val="000F797B"/>
    <w:rsid w:val="00100005"/>
    <w:rsid w:val="0010250F"/>
    <w:rsid w:val="001128B1"/>
    <w:rsid w:val="0013241C"/>
    <w:rsid w:val="001327ED"/>
    <w:rsid w:val="00142A55"/>
    <w:rsid w:val="00143C1B"/>
    <w:rsid w:val="001474C8"/>
    <w:rsid w:val="0015676D"/>
    <w:rsid w:val="00163C3D"/>
    <w:rsid w:val="00166A57"/>
    <w:rsid w:val="00167E04"/>
    <w:rsid w:val="001A6392"/>
    <w:rsid w:val="001B1445"/>
    <w:rsid w:val="001D0068"/>
    <w:rsid w:val="001D1B5C"/>
    <w:rsid w:val="001D62C9"/>
    <w:rsid w:val="001E4AD3"/>
    <w:rsid w:val="001F3B22"/>
    <w:rsid w:val="001F7573"/>
    <w:rsid w:val="00200726"/>
    <w:rsid w:val="0020420C"/>
    <w:rsid w:val="00212701"/>
    <w:rsid w:val="00216168"/>
    <w:rsid w:val="00217C37"/>
    <w:rsid w:val="0022368F"/>
    <w:rsid w:val="00233A15"/>
    <w:rsid w:val="00250BD2"/>
    <w:rsid w:val="00250DB5"/>
    <w:rsid w:val="00262F5E"/>
    <w:rsid w:val="0026528C"/>
    <w:rsid w:val="00267155"/>
    <w:rsid w:val="00275AAC"/>
    <w:rsid w:val="00276192"/>
    <w:rsid w:val="00283225"/>
    <w:rsid w:val="00285E0A"/>
    <w:rsid w:val="00290C18"/>
    <w:rsid w:val="00290CE8"/>
    <w:rsid w:val="00290D20"/>
    <w:rsid w:val="00292335"/>
    <w:rsid w:val="002C371D"/>
    <w:rsid w:val="002C4751"/>
    <w:rsid w:val="002D7DF2"/>
    <w:rsid w:val="002E02D7"/>
    <w:rsid w:val="002E14A1"/>
    <w:rsid w:val="002E2968"/>
    <w:rsid w:val="002E681B"/>
    <w:rsid w:val="002F34AE"/>
    <w:rsid w:val="002F645B"/>
    <w:rsid w:val="002F700C"/>
    <w:rsid w:val="00300318"/>
    <w:rsid w:val="00304F8F"/>
    <w:rsid w:val="00306585"/>
    <w:rsid w:val="00310BE0"/>
    <w:rsid w:val="00320A57"/>
    <w:rsid w:val="00320A5A"/>
    <w:rsid w:val="00322BF4"/>
    <w:rsid w:val="00336842"/>
    <w:rsid w:val="00336BA7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5075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04279"/>
    <w:rsid w:val="004107A1"/>
    <w:rsid w:val="004117B3"/>
    <w:rsid w:val="00420301"/>
    <w:rsid w:val="00424DC6"/>
    <w:rsid w:val="00427872"/>
    <w:rsid w:val="00431339"/>
    <w:rsid w:val="00442876"/>
    <w:rsid w:val="004431BD"/>
    <w:rsid w:val="00445E2E"/>
    <w:rsid w:val="004536F1"/>
    <w:rsid w:val="00464284"/>
    <w:rsid w:val="00472498"/>
    <w:rsid w:val="00472B1A"/>
    <w:rsid w:val="00474FD8"/>
    <w:rsid w:val="00475FCF"/>
    <w:rsid w:val="0047768A"/>
    <w:rsid w:val="00482425"/>
    <w:rsid w:val="00482A9D"/>
    <w:rsid w:val="00483945"/>
    <w:rsid w:val="00485B77"/>
    <w:rsid w:val="00491132"/>
    <w:rsid w:val="004A5418"/>
    <w:rsid w:val="004A5D58"/>
    <w:rsid w:val="004B0899"/>
    <w:rsid w:val="004B0FC5"/>
    <w:rsid w:val="004B3DAF"/>
    <w:rsid w:val="004C05DE"/>
    <w:rsid w:val="004C1D70"/>
    <w:rsid w:val="004C6E13"/>
    <w:rsid w:val="004C70D6"/>
    <w:rsid w:val="004C7620"/>
    <w:rsid w:val="004D1634"/>
    <w:rsid w:val="004D6F6E"/>
    <w:rsid w:val="004E17D7"/>
    <w:rsid w:val="004E23A7"/>
    <w:rsid w:val="004E7563"/>
    <w:rsid w:val="004F0B3B"/>
    <w:rsid w:val="004F5D3E"/>
    <w:rsid w:val="00511463"/>
    <w:rsid w:val="00511925"/>
    <w:rsid w:val="005126A0"/>
    <w:rsid w:val="00534AE9"/>
    <w:rsid w:val="00542AC0"/>
    <w:rsid w:val="00542D94"/>
    <w:rsid w:val="00544756"/>
    <w:rsid w:val="0055500B"/>
    <w:rsid w:val="0055521A"/>
    <w:rsid w:val="00566670"/>
    <w:rsid w:val="00582306"/>
    <w:rsid w:val="00587C87"/>
    <w:rsid w:val="00595C25"/>
    <w:rsid w:val="005A140B"/>
    <w:rsid w:val="005A290C"/>
    <w:rsid w:val="005A30B9"/>
    <w:rsid w:val="005A359A"/>
    <w:rsid w:val="005A3BB5"/>
    <w:rsid w:val="005A51FA"/>
    <w:rsid w:val="005A6353"/>
    <w:rsid w:val="005B182E"/>
    <w:rsid w:val="005C0945"/>
    <w:rsid w:val="005C0D04"/>
    <w:rsid w:val="005D62DE"/>
    <w:rsid w:val="005E0E34"/>
    <w:rsid w:val="005E2466"/>
    <w:rsid w:val="005F7AA6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40DEC"/>
    <w:rsid w:val="00650CE0"/>
    <w:rsid w:val="0065596A"/>
    <w:rsid w:val="0066342D"/>
    <w:rsid w:val="00664F41"/>
    <w:rsid w:val="00672BCD"/>
    <w:rsid w:val="00677056"/>
    <w:rsid w:val="00690509"/>
    <w:rsid w:val="00690A73"/>
    <w:rsid w:val="006A2805"/>
    <w:rsid w:val="006A4D62"/>
    <w:rsid w:val="006B626C"/>
    <w:rsid w:val="006C12F7"/>
    <w:rsid w:val="006C3DED"/>
    <w:rsid w:val="006C4E9C"/>
    <w:rsid w:val="006D2241"/>
    <w:rsid w:val="006D4DF4"/>
    <w:rsid w:val="006E092B"/>
    <w:rsid w:val="006E140A"/>
    <w:rsid w:val="006F634D"/>
    <w:rsid w:val="007144F9"/>
    <w:rsid w:val="00714D42"/>
    <w:rsid w:val="007205B9"/>
    <w:rsid w:val="00724B13"/>
    <w:rsid w:val="00725E45"/>
    <w:rsid w:val="00731B45"/>
    <w:rsid w:val="0073758E"/>
    <w:rsid w:val="007510A6"/>
    <w:rsid w:val="007513D9"/>
    <w:rsid w:val="00754D70"/>
    <w:rsid w:val="00755A28"/>
    <w:rsid w:val="00762772"/>
    <w:rsid w:val="00763B7A"/>
    <w:rsid w:val="0076413C"/>
    <w:rsid w:val="00767BBC"/>
    <w:rsid w:val="00776C67"/>
    <w:rsid w:val="0077745C"/>
    <w:rsid w:val="00784E44"/>
    <w:rsid w:val="00785493"/>
    <w:rsid w:val="007928FF"/>
    <w:rsid w:val="00794454"/>
    <w:rsid w:val="007A2D34"/>
    <w:rsid w:val="007C593C"/>
    <w:rsid w:val="007C72B5"/>
    <w:rsid w:val="007E36FB"/>
    <w:rsid w:val="007E7910"/>
    <w:rsid w:val="007F290E"/>
    <w:rsid w:val="00806626"/>
    <w:rsid w:val="00806A8A"/>
    <w:rsid w:val="00812A32"/>
    <w:rsid w:val="00815D0A"/>
    <w:rsid w:val="00840D7B"/>
    <w:rsid w:val="008424C3"/>
    <w:rsid w:val="00852CC4"/>
    <w:rsid w:val="00857D86"/>
    <w:rsid w:val="0086130F"/>
    <w:rsid w:val="00867B44"/>
    <w:rsid w:val="00877306"/>
    <w:rsid w:val="00877A48"/>
    <w:rsid w:val="008833A4"/>
    <w:rsid w:val="0088575D"/>
    <w:rsid w:val="00887ABC"/>
    <w:rsid w:val="00897381"/>
    <w:rsid w:val="0089786F"/>
    <w:rsid w:val="008A2AAA"/>
    <w:rsid w:val="008A3FCE"/>
    <w:rsid w:val="008A44C6"/>
    <w:rsid w:val="008A7954"/>
    <w:rsid w:val="008B4332"/>
    <w:rsid w:val="008B45D1"/>
    <w:rsid w:val="008B47A6"/>
    <w:rsid w:val="008C7A10"/>
    <w:rsid w:val="008D43C9"/>
    <w:rsid w:val="008F0049"/>
    <w:rsid w:val="00901B55"/>
    <w:rsid w:val="00902B75"/>
    <w:rsid w:val="009049BF"/>
    <w:rsid w:val="00907DC6"/>
    <w:rsid w:val="00916E90"/>
    <w:rsid w:val="00942F6D"/>
    <w:rsid w:val="0095379D"/>
    <w:rsid w:val="00963E19"/>
    <w:rsid w:val="00964B3E"/>
    <w:rsid w:val="0096703C"/>
    <w:rsid w:val="00990A48"/>
    <w:rsid w:val="00993761"/>
    <w:rsid w:val="009947C3"/>
    <w:rsid w:val="009B1F19"/>
    <w:rsid w:val="009B6339"/>
    <w:rsid w:val="009C6BEE"/>
    <w:rsid w:val="009D5F92"/>
    <w:rsid w:val="009E3CDF"/>
    <w:rsid w:val="009F163E"/>
    <w:rsid w:val="009F292C"/>
    <w:rsid w:val="00A0143D"/>
    <w:rsid w:val="00A0364D"/>
    <w:rsid w:val="00A07394"/>
    <w:rsid w:val="00A27157"/>
    <w:rsid w:val="00A347D0"/>
    <w:rsid w:val="00A40325"/>
    <w:rsid w:val="00A61ADD"/>
    <w:rsid w:val="00A661D4"/>
    <w:rsid w:val="00A76451"/>
    <w:rsid w:val="00A8340A"/>
    <w:rsid w:val="00A90F49"/>
    <w:rsid w:val="00AA5830"/>
    <w:rsid w:val="00AA626C"/>
    <w:rsid w:val="00AB0DD9"/>
    <w:rsid w:val="00AC2CBC"/>
    <w:rsid w:val="00AF20DB"/>
    <w:rsid w:val="00AF603E"/>
    <w:rsid w:val="00B01B32"/>
    <w:rsid w:val="00B02CAD"/>
    <w:rsid w:val="00B06017"/>
    <w:rsid w:val="00B13C08"/>
    <w:rsid w:val="00B144AB"/>
    <w:rsid w:val="00B15057"/>
    <w:rsid w:val="00B31350"/>
    <w:rsid w:val="00B4195F"/>
    <w:rsid w:val="00B450F7"/>
    <w:rsid w:val="00B4799F"/>
    <w:rsid w:val="00B51692"/>
    <w:rsid w:val="00B5243C"/>
    <w:rsid w:val="00B56E0F"/>
    <w:rsid w:val="00B60BA6"/>
    <w:rsid w:val="00B61537"/>
    <w:rsid w:val="00B64958"/>
    <w:rsid w:val="00B669AF"/>
    <w:rsid w:val="00B73715"/>
    <w:rsid w:val="00B811C0"/>
    <w:rsid w:val="00B814B7"/>
    <w:rsid w:val="00B86B0C"/>
    <w:rsid w:val="00B92B69"/>
    <w:rsid w:val="00B9435C"/>
    <w:rsid w:val="00B96EED"/>
    <w:rsid w:val="00B972CB"/>
    <w:rsid w:val="00BA4BAD"/>
    <w:rsid w:val="00BA5AD2"/>
    <w:rsid w:val="00BC0BBD"/>
    <w:rsid w:val="00BC16C5"/>
    <w:rsid w:val="00BC5CBF"/>
    <w:rsid w:val="00BC5D9A"/>
    <w:rsid w:val="00BE4FFB"/>
    <w:rsid w:val="00BF123C"/>
    <w:rsid w:val="00BF1425"/>
    <w:rsid w:val="00C047E9"/>
    <w:rsid w:val="00C05576"/>
    <w:rsid w:val="00C11D34"/>
    <w:rsid w:val="00C16EDE"/>
    <w:rsid w:val="00C33626"/>
    <w:rsid w:val="00C51B0E"/>
    <w:rsid w:val="00C55A2D"/>
    <w:rsid w:val="00C56D36"/>
    <w:rsid w:val="00C62407"/>
    <w:rsid w:val="00C63E30"/>
    <w:rsid w:val="00C669A8"/>
    <w:rsid w:val="00C7166A"/>
    <w:rsid w:val="00C7678D"/>
    <w:rsid w:val="00C831FD"/>
    <w:rsid w:val="00C84652"/>
    <w:rsid w:val="00C85295"/>
    <w:rsid w:val="00C9494F"/>
    <w:rsid w:val="00C949C1"/>
    <w:rsid w:val="00CA00C3"/>
    <w:rsid w:val="00CA2D80"/>
    <w:rsid w:val="00CA2E3B"/>
    <w:rsid w:val="00CA64F7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CF6E96"/>
    <w:rsid w:val="00D0595A"/>
    <w:rsid w:val="00D066D1"/>
    <w:rsid w:val="00D226CB"/>
    <w:rsid w:val="00D2297C"/>
    <w:rsid w:val="00D2670A"/>
    <w:rsid w:val="00D27000"/>
    <w:rsid w:val="00D27D39"/>
    <w:rsid w:val="00D3428E"/>
    <w:rsid w:val="00D42057"/>
    <w:rsid w:val="00D53A98"/>
    <w:rsid w:val="00D563C4"/>
    <w:rsid w:val="00D5731B"/>
    <w:rsid w:val="00D574DF"/>
    <w:rsid w:val="00D577E2"/>
    <w:rsid w:val="00D6460E"/>
    <w:rsid w:val="00D64EC4"/>
    <w:rsid w:val="00D66FE0"/>
    <w:rsid w:val="00D677C4"/>
    <w:rsid w:val="00D70052"/>
    <w:rsid w:val="00D71290"/>
    <w:rsid w:val="00D855E1"/>
    <w:rsid w:val="00D8670C"/>
    <w:rsid w:val="00DA1870"/>
    <w:rsid w:val="00DA401A"/>
    <w:rsid w:val="00DA43DA"/>
    <w:rsid w:val="00DC0734"/>
    <w:rsid w:val="00DC5420"/>
    <w:rsid w:val="00DC6875"/>
    <w:rsid w:val="00DD4032"/>
    <w:rsid w:val="00DE306C"/>
    <w:rsid w:val="00E04FC4"/>
    <w:rsid w:val="00E0596F"/>
    <w:rsid w:val="00E1167D"/>
    <w:rsid w:val="00E1328B"/>
    <w:rsid w:val="00E45A81"/>
    <w:rsid w:val="00E531EF"/>
    <w:rsid w:val="00E556D4"/>
    <w:rsid w:val="00E567A1"/>
    <w:rsid w:val="00E6602D"/>
    <w:rsid w:val="00E70F60"/>
    <w:rsid w:val="00E74050"/>
    <w:rsid w:val="00E75677"/>
    <w:rsid w:val="00E972F3"/>
    <w:rsid w:val="00EA462C"/>
    <w:rsid w:val="00EB6C89"/>
    <w:rsid w:val="00EC0521"/>
    <w:rsid w:val="00EC2BB7"/>
    <w:rsid w:val="00EC5D4A"/>
    <w:rsid w:val="00EC711E"/>
    <w:rsid w:val="00ED7581"/>
    <w:rsid w:val="00EF5837"/>
    <w:rsid w:val="00F054A0"/>
    <w:rsid w:val="00F15434"/>
    <w:rsid w:val="00F170D5"/>
    <w:rsid w:val="00F268E5"/>
    <w:rsid w:val="00F304C9"/>
    <w:rsid w:val="00F57BBC"/>
    <w:rsid w:val="00F600D5"/>
    <w:rsid w:val="00F67B75"/>
    <w:rsid w:val="00F81542"/>
    <w:rsid w:val="00F95AA7"/>
    <w:rsid w:val="00FA2B78"/>
    <w:rsid w:val="00FA3B79"/>
    <w:rsid w:val="00FB0B26"/>
    <w:rsid w:val="00FC667C"/>
    <w:rsid w:val="00FD5311"/>
    <w:rsid w:val="00FE446F"/>
    <w:rsid w:val="00FF38F6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4943B0"/>
  <w15:docId w15:val="{81AB2CE1-C025-4C72-BFCE-B1CC51BC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  <w:style w:type="character" w:customStyle="1" w:styleId="publication-comments-link">
    <w:name w:val="publication-comments-link"/>
    <w:basedOn w:val="a0"/>
    <w:rsid w:val="00166A57"/>
  </w:style>
  <w:style w:type="character" w:customStyle="1" w:styleId="publication-comments-linkcomments-count">
    <w:name w:val="publication-comments-link__comments-count"/>
    <w:basedOn w:val="a0"/>
    <w:rsid w:val="00166A57"/>
  </w:style>
  <w:style w:type="paragraph" w:customStyle="1" w:styleId="lead">
    <w:name w:val="lead"/>
    <w:basedOn w:val="a"/>
    <w:rsid w:val="00166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innovator-founder-visa" TargetMode="External"/><Relationship Id="rId13" Type="http://schemas.openxmlformats.org/officeDocument/2006/relationships/hyperlink" Target="https://ind.nl/en/residence-permits/work/start-up" TargetMode="External"/><Relationship Id="rId18" Type="http://schemas.openxmlformats.org/officeDocument/2006/relationships/hyperlink" Target="https://www.make-it-in-germany.com/en/working-in-germany/setting-up-business/visa/self-employe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vistos.mne.gov.pt/en/startup-visa" TargetMode="External"/><Relationship Id="rId7" Type="http://schemas.openxmlformats.org/officeDocument/2006/relationships/hyperlink" Target="https://www.exteriores.gob.es/Consulados/londres/en/ServiciosConsulares/Paginas/Consular/Visado-para-emprendedor.aspx" TargetMode="External"/><Relationship Id="rId12" Type="http://schemas.openxmlformats.org/officeDocument/2006/relationships/hyperlink" Target="https://www.exteriores.gob.es/Consulados/londres/en/ServiciosConsulares/Paginas/Consular/Visado-para-emprendedor.aspx" TargetMode="External"/><Relationship Id="rId17" Type="http://schemas.openxmlformats.org/officeDocument/2006/relationships/hyperlink" Target="https://www.gov.pl/web/poland-businessharbour-en/startup" TargetMode="External"/><Relationship Id="rId25" Type="http://schemas.openxmlformats.org/officeDocument/2006/relationships/hyperlink" Target="https://www.nalog.gov.ru/rn77/related_activities/megdunarodnoe/spisok_ofshor/?ysclid=ls90dw8h7t908698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zv.gov.cz/jnp/en/information_for_aliens/long_stay_visa/entrepreneurship.html" TargetMode="External"/><Relationship Id="rId20" Type="http://schemas.openxmlformats.org/officeDocument/2006/relationships/hyperlink" Target="https://startupvisalithuania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aliastartupvisa.mise.gov.it" TargetMode="External"/><Relationship Id="rId24" Type="http://schemas.openxmlformats.org/officeDocument/2006/relationships/hyperlink" Target="https://www.gov.me/en/article/temporary-reside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rtupestonia.ee/start-up-in-estonia/startup-visa/" TargetMode="External"/><Relationship Id="rId23" Type="http://schemas.openxmlformats.org/officeDocument/2006/relationships/hyperlink" Target="https://www.kvk.nl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liaa.gov.lv/sites/liaa/files/content/Jaunuznemumi/lv_startup_visa_application_process_2019.10.09.pdf" TargetMode="External"/><Relationship Id="rId19" Type="http://schemas.openxmlformats.org/officeDocument/2006/relationships/hyperlink" Target="https://lafrenchtech.gouv.fr/fr/venir-travailler-en-france/french-tech-vi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apro.com/startup-visas/international-entrepreneur-parole/" TargetMode="External"/><Relationship Id="rId14" Type="http://schemas.openxmlformats.org/officeDocument/2006/relationships/hyperlink" Target="https://ignite.com.cy/cyprus-startup-visa/" TargetMode="External"/><Relationship Id="rId22" Type="http://schemas.openxmlformats.org/officeDocument/2006/relationships/hyperlink" Target="https://startupdenmark.info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Чачанидзе Георгий Дмитриевич</cp:lastModifiedBy>
  <cp:revision>2</cp:revision>
  <dcterms:created xsi:type="dcterms:W3CDTF">2024-03-27T06:46:00Z</dcterms:created>
  <dcterms:modified xsi:type="dcterms:W3CDTF">2024-03-27T06:46:00Z</dcterms:modified>
</cp:coreProperties>
</file>